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F9CC" w14:textId="79C5A0CA" w:rsidR="00F916BC" w:rsidRDefault="005126AA" w:rsidP="00F916BC">
      <w:pPr>
        <w:pStyle w:val="Prrafodelista"/>
        <w:ind w:left="0"/>
        <w:jc w:val="center"/>
        <w:rPr>
          <w:rFonts w:ascii="Arial" w:hAnsi="Arial" w:cs="Arial"/>
          <w:b/>
        </w:rPr>
      </w:pPr>
      <w:bookmarkStart w:id="0" w:name="_Hlk50556970"/>
      <w:bookmarkStart w:id="1" w:name="_Hlk57037177"/>
      <w:r>
        <w:rPr>
          <w:rFonts w:ascii="Arial" w:hAnsi="Arial" w:cs="Arial"/>
          <w:b/>
        </w:rPr>
        <w:t>No se debe renunciar a la transparencia, la rendición de cuentas y el combate a la corrupción: IZAI</w:t>
      </w:r>
    </w:p>
    <w:p w14:paraId="3381DBDB" w14:textId="77777777" w:rsidR="00F916BC" w:rsidRPr="00D23144" w:rsidRDefault="00F916BC" w:rsidP="00F916BC">
      <w:pPr>
        <w:pStyle w:val="Prrafodelista"/>
        <w:ind w:left="0"/>
        <w:jc w:val="center"/>
        <w:rPr>
          <w:rFonts w:ascii="Arial" w:hAnsi="Arial" w:cs="Arial"/>
          <w:b/>
        </w:rPr>
      </w:pPr>
    </w:p>
    <w:p w14:paraId="4D736E74" w14:textId="73D8CDDC" w:rsidR="00461677" w:rsidRDefault="005126AA" w:rsidP="00F916BC">
      <w:pPr>
        <w:pStyle w:val="Prrafodelista"/>
        <w:numPr>
          <w:ilvl w:val="0"/>
          <w:numId w:val="39"/>
        </w:numPr>
        <w:spacing w:line="259" w:lineRule="auto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Ante autoridades nacionales, estatales y municipales, rinde IZAI el informe anual de actividades 2021.</w:t>
      </w:r>
    </w:p>
    <w:p w14:paraId="7A248086" w14:textId="3970071F" w:rsidR="00ED528C" w:rsidRDefault="00F916BC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Zacatecas, </w:t>
      </w:r>
      <w:r w:rsidR="005126AA">
        <w:rPr>
          <w:rFonts w:ascii="Arial" w:hAnsi="Arial" w:cs="Arial"/>
        </w:rPr>
        <w:t>20 de enero</w:t>
      </w:r>
      <w:r>
        <w:rPr>
          <w:rFonts w:ascii="Arial" w:hAnsi="Arial" w:cs="Arial"/>
        </w:rPr>
        <w:t>. –</w:t>
      </w:r>
      <w:bookmarkEnd w:id="0"/>
      <w:r>
        <w:rPr>
          <w:rFonts w:ascii="Arial" w:hAnsi="Arial" w:cs="Arial"/>
        </w:rPr>
        <w:t xml:space="preserve"> </w:t>
      </w:r>
      <w:bookmarkEnd w:id="1"/>
      <w:r w:rsidR="00C65312">
        <w:rPr>
          <w:rFonts w:ascii="Arial" w:hAnsi="Arial" w:cs="Arial"/>
        </w:rPr>
        <w:t>“</w:t>
      </w:r>
      <w:r w:rsidR="005126AA">
        <w:rPr>
          <w:rFonts w:ascii="Arial" w:hAnsi="Arial" w:cs="Arial"/>
        </w:rPr>
        <w:t>La transparencia, la rendición de cuentas y el combate a la corrupción son valores centrales de la democracia moderna, no se debe renunciar a ellos</w:t>
      </w:r>
      <w:r w:rsidR="00C65312">
        <w:rPr>
          <w:rFonts w:ascii="Arial" w:hAnsi="Arial" w:cs="Arial"/>
        </w:rPr>
        <w:t xml:space="preserve">” </w:t>
      </w:r>
      <w:r w:rsidR="005126AA">
        <w:rPr>
          <w:rFonts w:ascii="Arial" w:hAnsi="Arial" w:cs="Arial"/>
        </w:rPr>
        <w:t>subray</w:t>
      </w:r>
      <w:r w:rsidR="00C65312">
        <w:rPr>
          <w:rFonts w:ascii="Arial" w:hAnsi="Arial" w:cs="Arial"/>
        </w:rPr>
        <w:t xml:space="preserve">ó </w:t>
      </w:r>
      <w:r w:rsidR="005126AA">
        <w:rPr>
          <w:rFonts w:ascii="Arial" w:hAnsi="Arial" w:cs="Arial"/>
        </w:rPr>
        <w:t>la comisionada presidenta Fabiola Torres Rodríguez al rendir el Informe Anual de Actividades 2021 del Instituto Zacatecano de Transparencia, Acceso a la Información y Protección de Datos Personales (IZAI)</w:t>
      </w:r>
      <w:r w:rsidR="00C65312">
        <w:rPr>
          <w:rFonts w:ascii="Arial" w:hAnsi="Arial" w:cs="Arial"/>
        </w:rPr>
        <w:t>.</w:t>
      </w:r>
    </w:p>
    <w:p w14:paraId="19CDFF3D" w14:textId="114AAEC2" w:rsidR="00ED528C" w:rsidRDefault="00ED528C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“En el IZAI somos más que números fríos y estadísticas, porque servimos para mejorar la vida cotidiana de los ciudadanos” afirmó Torres Rodríguez, y llamó a que, hoy más que nunca, se trabaje en coordinación las instituciones, academia y sociedad civil para garantizar el derecho de acceso a la información veraz y oportuna, a fin de construir el cambio que demandan los zacatecanos.</w:t>
      </w:r>
    </w:p>
    <w:p w14:paraId="1B4B995E" w14:textId="5689A951" w:rsidR="00BF25EA" w:rsidRDefault="00ED528C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ejercicio 2021, el Pleno integrado por la comisionada presidenta, </w:t>
      </w:r>
      <w:r w:rsidR="00BF25EA">
        <w:rPr>
          <w:rFonts w:ascii="Arial" w:hAnsi="Arial" w:cs="Arial"/>
        </w:rPr>
        <w:t>así como los comisionados Nubia Barrios Escamilla y Samuel Montoya Álvarez</w:t>
      </w:r>
      <w:r>
        <w:rPr>
          <w:rFonts w:ascii="Arial" w:hAnsi="Arial" w:cs="Arial"/>
        </w:rPr>
        <w:t xml:space="preserve">, llevó a cabo 38 sesiones ordinarias y </w:t>
      </w:r>
      <w:r w:rsidR="00BF25EA">
        <w:rPr>
          <w:rFonts w:ascii="Arial" w:hAnsi="Arial" w:cs="Arial"/>
        </w:rPr>
        <w:t>18 extraordinarias, de las cuales derivaron 608 acuerdos.</w:t>
      </w:r>
    </w:p>
    <w:p w14:paraId="199B5D3F" w14:textId="6DF790E2" w:rsidR="00BF25EA" w:rsidRDefault="00BF25EA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mismo, se sancionó a los sujetos obligados incumplidos en transparencia con 39 multas: 27 impuestas a autoridades municipales, 9 a sistemas de agua potable, 3 a instituciones públicas de educación superior y 1 a un sindicato.</w:t>
      </w:r>
    </w:p>
    <w:p w14:paraId="4D7E2FCD" w14:textId="050E4BF3" w:rsidR="00BF25EA" w:rsidRDefault="00BF25EA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 materia de solicitudes de información, el estado recibió 8 mil 955 peticiones, de las cuales 8 mil 602 fueron respecto a información pública y 355 sobre datos personales. Además, la entidad cargó a la Plataforma Nacional de Transparencia más de 73 millones de registros de información pública para la consulta de los ciudadanos.</w:t>
      </w:r>
    </w:p>
    <w:p w14:paraId="10846A65" w14:textId="0EB50A80" w:rsidR="00BF25EA" w:rsidRDefault="00BF25EA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tanto, se asesoró a 372 ciudadanos sobre la protección de sus datos personales, en este rubro también se impartieron 17 capacitaciones, se realizaron 43 inventarios de datos personales de las </w:t>
      </w:r>
      <w:r w:rsidR="00E52464">
        <w:rPr>
          <w:rFonts w:ascii="Arial" w:hAnsi="Arial" w:cs="Arial"/>
        </w:rPr>
        <w:t>autoridades</w:t>
      </w:r>
      <w:r>
        <w:rPr>
          <w:rFonts w:ascii="Arial" w:hAnsi="Arial" w:cs="Arial"/>
        </w:rPr>
        <w:t xml:space="preserve"> que </w:t>
      </w:r>
      <w:r w:rsidR="00E52464">
        <w:rPr>
          <w:rFonts w:ascii="Arial" w:hAnsi="Arial" w:cs="Arial"/>
        </w:rPr>
        <w:t>tienen información privada a su resguardo, y se llevaron a cabo 35 diagnósticos de seguridad.</w:t>
      </w:r>
    </w:p>
    <w:p w14:paraId="2CABC274" w14:textId="27F900ED" w:rsidR="00E52464" w:rsidRDefault="00E52464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fin de acercar a la ciudadanía a su derecho y continuar la profesionalización de los servidores públicos en materia de transparencia, se llevaron a cabo 81 capacitaciones y 36 talleres productivos, con un total de 12 mil 503 personas capacitadas.</w:t>
      </w:r>
    </w:p>
    <w:p w14:paraId="16A557A5" w14:textId="0C2F63A8" w:rsidR="00E52464" w:rsidRDefault="00E52464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Desde el centro de investigaciones, se brindaron 212 asesorías a servidores públicos y ciudadanos, además de medir la productividad del Instituto y presentar sus resultados a la ciudadanía mediante 21 reportes semanales, de un total de 158 mil 685 acciones.</w:t>
      </w:r>
    </w:p>
    <w:p w14:paraId="110EE5D2" w14:textId="4AED813B" w:rsidR="00E52464" w:rsidRDefault="00E52464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 área de archivos del IZAI recibió 8 transferencias primarias en su archivo de concentración, con un total de 996 expedientes. Así mismo, se consultaron 31 expedientes resguardados.</w:t>
      </w:r>
    </w:p>
    <w:p w14:paraId="14838B21" w14:textId="0C4F4615" w:rsidR="00E52464" w:rsidRDefault="00BD1816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pleno del IZAI agradeció </w:t>
      </w:r>
      <w:r w:rsidR="000076A6">
        <w:rPr>
          <w:rFonts w:ascii="Arial" w:hAnsi="Arial" w:cs="Arial"/>
        </w:rPr>
        <w:t>la presencia de David Monreal Ávila, Gobernador Constitucional del Estado de Zacatecas, así como de</w:t>
      </w:r>
      <w:r>
        <w:rPr>
          <w:rFonts w:ascii="Arial" w:hAnsi="Arial" w:cs="Arial"/>
        </w:rPr>
        <w:t xml:space="preserve"> los integrantes del Sistema Nacional de Transparencia, quienes estuvieron representados a través de los comisionados nacionales Julieta Del Río Venegas, Óscar Guerra Ford, Francisco Javier Acuña Llamas y Josefina Román Vergara, del INAI, así como su comisionada presidenta Blanca Lilia Ibarra Cadena.</w:t>
      </w:r>
    </w:p>
    <w:p w14:paraId="5850DB5E" w14:textId="77777777" w:rsidR="00883A08" w:rsidRDefault="00BD1816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También acudiero</w:t>
      </w:r>
      <w:r w:rsidR="000076A6">
        <w:rPr>
          <w:rFonts w:ascii="Arial" w:hAnsi="Arial" w:cs="Arial"/>
        </w:rPr>
        <w:t>n Lucía Mariscal Cárdenas, coordinadora de los organismos garantes del Sistema Nacional de Transparencia; Areli Navarrete Naranjo, coordinadora de la Región Centro-Occidente;</w:t>
      </w:r>
      <w:r w:rsidR="00883A08">
        <w:rPr>
          <w:rFonts w:ascii="Arial" w:hAnsi="Arial" w:cs="Arial"/>
        </w:rPr>
        <w:t xml:space="preserve"> así mismo, estuvieron presentes comisionados de los órganos garantes de Baja California, la Ciudad de México, Durango, Jalisco, Michoacán y San Luis Potosí.</w:t>
      </w:r>
    </w:p>
    <w:p w14:paraId="4271D7AF" w14:textId="386A5B3F" w:rsidR="00BD1816" w:rsidRDefault="00883A08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Acudieron también las senadoras Claudia Anaya Mota y Geovanna Bañuelos de la Torre, y la diputada federal Noemí Luna Ayala. Asistieron también </w:t>
      </w:r>
      <w:r w:rsidR="000076A6">
        <w:rPr>
          <w:rFonts w:ascii="Arial" w:hAnsi="Arial" w:cs="Arial"/>
        </w:rPr>
        <w:t>autoridades del ámbito local, como Arturo Nahle García, Magistrado presidente del Tribunal Superior de Justicia del Estado, y Jehú Salas Dávila, presidente de la Comisión Permanente de la LXIV Legislatura del Estado</w:t>
      </w:r>
      <w:r>
        <w:rPr>
          <w:rFonts w:ascii="Arial" w:hAnsi="Arial" w:cs="Arial"/>
        </w:rPr>
        <w:t>.</w:t>
      </w:r>
    </w:p>
    <w:p w14:paraId="51E00F59" w14:textId="7711AE73" w:rsidR="00883A08" w:rsidRDefault="00883A08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igual que los presidentes municipales Julio César Chávez, de Guadalupe, Humberto Salazar, de Jerez y Saúl Monreal Ávila, de Fresnillo. </w:t>
      </w:r>
    </w:p>
    <w:p w14:paraId="7C5E5EF2" w14:textId="0724E405" w:rsidR="00883A08" w:rsidRDefault="00883A08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informe anual de actividades 2021 está disponible para </w:t>
      </w:r>
      <w:r w:rsidR="00652616">
        <w:rPr>
          <w:rFonts w:ascii="Arial" w:hAnsi="Arial" w:cs="Arial"/>
        </w:rPr>
        <w:t xml:space="preserve">la consulta de las y los ciudadanos a través de la página oficial del IZAI, www.izai.org.mx </w:t>
      </w:r>
    </w:p>
    <w:p w14:paraId="2D4C4E90" w14:textId="13C230A3" w:rsidR="00B92F7C" w:rsidRDefault="00B92F7C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8733D6A" wp14:editId="7D6B2D9F">
            <wp:extent cx="5612130" cy="3737610"/>
            <wp:effectExtent l="0" t="0" r="7620" b="0"/>
            <wp:docPr id="1" name="Imagen 1" descr="Un grupo de personas frente a una televisió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grupo de personas frente a una televisión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0AB11" w14:textId="36D2F580" w:rsidR="00B92F7C" w:rsidRPr="004F3E8A" w:rsidRDefault="00B92F7C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80B9F9C" wp14:editId="17DB0174">
            <wp:extent cx="5612130" cy="3737610"/>
            <wp:effectExtent l="0" t="0" r="7620" b="0"/>
            <wp:docPr id="2" name="Imagen 2" descr="Personas sentadas en una mes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Personas sentadas en una mes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7E451B" wp14:editId="718FE87B">
            <wp:extent cx="5612130" cy="3737610"/>
            <wp:effectExtent l="0" t="0" r="7620" b="0"/>
            <wp:docPr id="3" name="Imagen 3" descr="Un grupo de personas en un salón de clase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 grupo de personas en un salón de clases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EAD77E" wp14:editId="55594142">
            <wp:extent cx="5612130" cy="3737610"/>
            <wp:effectExtent l="0" t="0" r="7620" b="0"/>
            <wp:docPr id="4" name="Imagen 4" descr="Un grupo de personas posando por un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Un grupo de personas posando por un fo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F7C" w:rsidRPr="004F3E8A" w:rsidSect="000C7BE2">
      <w:headerReference w:type="default" r:id="rId11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68CB" w14:textId="77777777" w:rsidR="00DD7211" w:rsidRDefault="00DD7211" w:rsidP="001B3B80">
      <w:pPr>
        <w:spacing w:after="0" w:line="240" w:lineRule="auto"/>
      </w:pPr>
      <w:r>
        <w:separator/>
      </w:r>
    </w:p>
  </w:endnote>
  <w:endnote w:type="continuationSeparator" w:id="0">
    <w:p w14:paraId="17544550" w14:textId="77777777" w:rsidR="00DD7211" w:rsidRDefault="00DD7211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12C6" w14:textId="77777777" w:rsidR="00DD7211" w:rsidRDefault="00DD7211" w:rsidP="001B3B80">
      <w:pPr>
        <w:spacing w:after="0" w:line="240" w:lineRule="auto"/>
      </w:pPr>
      <w:r>
        <w:separator/>
      </w:r>
    </w:p>
  </w:footnote>
  <w:footnote w:type="continuationSeparator" w:id="0">
    <w:p w14:paraId="29FD2795" w14:textId="77777777" w:rsidR="00DD7211" w:rsidRDefault="00DD7211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C64"/>
    <w:multiLevelType w:val="hybridMultilevel"/>
    <w:tmpl w:val="5E6CF27A"/>
    <w:lvl w:ilvl="0" w:tplc="DB643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818"/>
    <w:multiLevelType w:val="hybridMultilevel"/>
    <w:tmpl w:val="78BE8228"/>
    <w:lvl w:ilvl="0" w:tplc="237A5A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1B2"/>
    <w:multiLevelType w:val="hybridMultilevel"/>
    <w:tmpl w:val="7B062308"/>
    <w:lvl w:ilvl="0" w:tplc="20C44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5F06"/>
    <w:multiLevelType w:val="hybridMultilevel"/>
    <w:tmpl w:val="694015AE"/>
    <w:lvl w:ilvl="0" w:tplc="8C646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9C6"/>
    <w:multiLevelType w:val="hybridMultilevel"/>
    <w:tmpl w:val="5108153A"/>
    <w:lvl w:ilvl="0" w:tplc="3D1820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6BFA"/>
    <w:multiLevelType w:val="hybridMultilevel"/>
    <w:tmpl w:val="A5A42DAE"/>
    <w:lvl w:ilvl="0" w:tplc="FBDCE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D6A09"/>
    <w:multiLevelType w:val="hybridMultilevel"/>
    <w:tmpl w:val="2E54BC0E"/>
    <w:lvl w:ilvl="0" w:tplc="D9DC6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73498"/>
    <w:multiLevelType w:val="hybridMultilevel"/>
    <w:tmpl w:val="0004F29C"/>
    <w:lvl w:ilvl="0" w:tplc="1C6A8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80692"/>
    <w:multiLevelType w:val="hybridMultilevel"/>
    <w:tmpl w:val="83329D54"/>
    <w:lvl w:ilvl="0" w:tplc="6BBC72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C47A0"/>
    <w:multiLevelType w:val="hybridMultilevel"/>
    <w:tmpl w:val="6286425A"/>
    <w:lvl w:ilvl="0" w:tplc="091CD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55DC"/>
    <w:multiLevelType w:val="hybridMultilevel"/>
    <w:tmpl w:val="BCF69DD4"/>
    <w:lvl w:ilvl="0" w:tplc="4FD289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767853"/>
    <w:multiLevelType w:val="hybridMultilevel"/>
    <w:tmpl w:val="79B82756"/>
    <w:lvl w:ilvl="0" w:tplc="A426C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A0018"/>
    <w:multiLevelType w:val="hybridMultilevel"/>
    <w:tmpl w:val="45ECCAF8"/>
    <w:lvl w:ilvl="0" w:tplc="A680136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4B7603"/>
    <w:multiLevelType w:val="hybridMultilevel"/>
    <w:tmpl w:val="FE0A7AD0"/>
    <w:lvl w:ilvl="0" w:tplc="9DAC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671A5"/>
    <w:multiLevelType w:val="hybridMultilevel"/>
    <w:tmpl w:val="E9BC5756"/>
    <w:lvl w:ilvl="0" w:tplc="544E8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D2009"/>
    <w:multiLevelType w:val="hybridMultilevel"/>
    <w:tmpl w:val="26888F72"/>
    <w:lvl w:ilvl="0" w:tplc="662070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1DCC"/>
    <w:multiLevelType w:val="hybridMultilevel"/>
    <w:tmpl w:val="8E9424DE"/>
    <w:lvl w:ilvl="0" w:tplc="9D402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91C94"/>
    <w:multiLevelType w:val="hybridMultilevel"/>
    <w:tmpl w:val="8FAA0C44"/>
    <w:lvl w:ilvl="0" w:tplc="D1C659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E15A8F"/>
    <w:multiLevelType w:val="multilevel"/>
    <w:tmpl w:val="E4564E42"/>
    <w:lvl w:ilvl="0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F7623E2"/>
    <w:multiLevelType w:val="hybridMultilevel"/>
    <w:tmpl w:val="A2423B7A"/>
    <w:lvl w:ilvl="0" w:tplc="C7324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D1CB2"/>
    <w:multiLevelType w:val="hybridMultilevel"/>
    <w:tmpl w:val="3FA871A2"/>
    <w:lvl w:ilvl="0" w:tplc="A1D02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670D0"/>
    <w:multiLevelType w:val="hybridMultilevel"/>
    <w:tmpl w:val="8FFC4728"/>
    <w:lvl w:ilvl="0" w:tplc="486821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16B5C"/>
    <w:multiLevelType w:val="hybridMultilevel"/>
    <w:tmpl w:val="E4D2E902"/>
    <w:lvl w:ilvl="0" w:tplc="E6A6F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B198D"/>
    <w:multiLevelType w:val="hybridMultilevel"/>
    <w:tmpl w:val="30661640"/>
    <w:lvl w:ilvl="0" w:tplc="C868C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A674C"/>
    <w:multiLevelType w:val="hybridMultilevel"/>
    <w:tmpl w:val="2F2AABDE"/>
    <w:lvl w:ilvl="0" w:tplc="632264F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A91804"/>
    <w:multiLevelType w:val="hybridMultilevel"/>
    <w:tmpl w:val="4B6AACE4"/>
    <w:lvl w:ilvl="0" w:tplc="AC060C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942D3"/>
    <w:multiLevelType w:val="hybridMultilevel"/>
    <w:tmpl w:val="91E45600"/>
    <w:lvl w:ilvl="0" w:tplc="C7B875A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48615B"/>
    <w:multiLevelType w:val="hybridMultilevel"/>
    <w:tmpl w:val="1E24B8F8"/>
    <w:lvl w:ilvl="0" w:tplc="4B3E1F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00ECC"/>
    <w:multiLevelType w:val="hybridMultilevel"/>
    <w:tmpl w:val="AC466D2A"/>
    <w:lvl w:ilvl="0" w:tplc="3D624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229E5"/>
    <w:multiLevelType w:val="hybridMultilevel"/>
    <w:tmpl w:val="8840862C"/>
    <w:lvl w:ilvl="0" w:tplc="F3A22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F2E0D"/>
    <w:multiLevelType w:val="hybridMultilevel"/>
    <w:tmpl w:val="34BC579E"/>
    <w:lvl w:ilvl="0" w:tplc="5E126556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B8E566D"/>
    <w:multiLevelType w:val="hybridMultilevel"/>
    <w:tmpl w:val="B20AB698"/>
    <w:lvl w:ilvl="0" w:tplc="1EFAB0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F6FC9"/>
    <w:multiLevelType w:val="hybridMultilevel"/>
    <w:tmpl w:val="7FDCA7C6"/>
    <w:lvl w:ilvl="0" w:tplc="C72EA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A161D"/>
    <w:multiLevelType w:val="hybridMultilevel"/>
    <w:tmpl w:val="1FD6B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1"/>
  </w:num>
  <w:num w:numId="5">
    <w:abstractNumId w:val="28"/>
  </w:num>
  <w:num w:numId="6">
    <w:abstractNumId w:val="30"/>
  </w:num>
  <w:num w:numId="7">
    <w:abstractNumId w:val="33"/>
  </w:num>
  <w:num w:numId="8">
    <w:abstractNumId w:val="14"/>
  </w:num>
  <w:num w:numId="9">
    <w:abstractNumId w:val="26"/>
  </w:num>
  <w:num w:numId="10">
    <w:abstractNumId w:val="1"/>
  </w:num>
  <w:num w:numId="11">
    <w:abstractNumId w:val="17"/>
  </w:num>
  <w:num w:numId="12">
    <w:abstractNumId w:val="6"/>
  </w:num>
  <w:num w:numId="13">
    <w:abstractNumId w:val="31"/>
  </w:num>
  <w:num w:numId="14">
    <w:abstractNumId w:val="29"/>
  </w:num>
  <w:num w:numId="15">
    <w:abstractNumId w:val="34"/>
  </w:num>
  <w:num w:numId="16">
    <w:abstractNumId w:val="12"/>
  </w:num>
  <w:num w:numId="17">
    <w:abstractNumId w:val="12"/>
  </w:num>
  <w:num w:numId="18">
    <w:abstractNumId w:val="3"/>
  </w:num>
  <w:num w:numId="19">
    <w:abstractNumId w:val="27"/>
  </w:num>
  <w:num w:numId="20">
    <w:abstractNumId w:val="13"/>
  </w:num>
  <w:num w:numId="21">
    <w:abstractNumId w:val="8"/>
  </w:num>
  <w:num w:numId="22">
    <w:abstractNumId w:val="36"/>
  </w:num>
  <w:num w:numId="23">
    <w:abstractNumId w:val="0"/>
  </w:num>
  <w:num w:numId="24">
    <w:abstractNumId w:val="20"/>
  </w:num>
  <w:num w:numId="25">
    <w:abstractNumId w:val="2"/>
  </w:num>
  <w:num w:numId="26">
    <w:abstractNumId w:val="7"/>
  </w:num>
  <w:num w:numId="27">
    <w:abstractNumId w:val="35"/>
  </w:num>
  <w:num w:numId="28">
    <w:abstractNumId w:val="37"/>
  </w:num>
  <w:num w:numId="29">
    <w:abstractNumId w:val="23"/>
  </w:num>
  <w:num w:numId="30">
    <w:abstractNumId w:val="4"/>
  </w:num>
  <w:num w:numId="31">
    <w:abstractNumId w:val="22"/>
  </w:num>
  <w:num w:numId="32">
    <w:abstractNumId w:val="9"/>
  </w:num>
  <w:num w:numId="33">
    <w:abstractNumId w:val="15"/>
  </w:num>
  <w:num w:numId="34">
    <w:abstractNumId w:val="32"/>
  </w:num>
  <w:num w:numId="35">
    <w:abstractNumId w:val="10"/>
  </w:num>
  <w:num w:numId="36">
    <w:abstractNumId w:val="5"/>
  </w:num>
  <w:num w:numId="37">
    <w:abstractNumId w:val="18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2002"/>
    <w:rsid w:val="00025A33"/>
    <w:rsid w:val="00036206"/>
    <w:rsid w:val="0004447B"/>
    <w:rsid w:val="00051B3C"/>
    <w:rsid w:val="00053C5F"/>
    <w:rsid w:val="00055893"/>
    <w:rsid w:val="000676E0"/>
    <w:rsid w:val="0007068E"/>
    <w:rsid w:val="00073BB0"/>
    <w:rsid w:val="00082CBC"/>
    <w:rsid w:val="00085867"/>
    <w:rsid w:val="00093245"/>
    <w:rsid w:val="000A58DC"/>
    <w:rsid w:val="000C6184"/>
    <w:rsid w:val="000C678D"/>
    <w:rsid w:val="000C7BE2"/>
    <w:rsid w:val="000E5043"/>
    <w:rsid w:val="000E79F4"/>
    <w:rsid w:val="000F2341"/>
    <w:rsid w:val="000F4357"/>
    <w:rsid w:val="000F4853"/>
    <w:rsid w:val="000F6667"/>
    <w:rsid w:val="00101F04"/>
    <w:rsid w:val="0010454F"/>
    <w:rsid w:val="00124A25"/>
    <w:rsid w:val="0012618F"/>
    <w:rsid w:val="0012678E"/>
    <w:rsid w:val="001521F9"/>
    <w:rsid w:val="0015558D"/>
    <w:rsid w:val="00156CDF"/>
    <w:rsid w:val="0015795F"/>
    <w:rsid w:val="00165926"/>
    <w:rsid w:val="00181E7A"/>
    <w:rsid w:val="001B3B80"/>
    <w:rsid w:val="001C3594"/>
    <w:rsid w:val="001C5333"/>
    <w:rsid w:val="001D705F"/>
    <w:rsid w:val="001E2173"/>
    <w:rsid w:val="001E42D6"/>
    <w:rsid w:val="001F2341"/>
    <w:rsid w:val="0021193E"/>
    <w:rsid w:val="00211D44"/>
    <w:rsid w:val="00220EC0"/>
    <w:rsid w:val="00221F2F"/>
    <w:rsid w:val="00222B92"/>
    <w:rsid w:val="00224B3A"/>
    <w:rsid w:val="00232E04"/>
    <w:rsid w:val="002339C0"/>
    <w:rsid w:val="00236010"/>
    <w:rsid w:val="00237155"/>
    <w:rsid w:val="00237F76"/>
    <w:rsid w:val="00261F83"/>
    <w:rsid w:val="00273F34"/>
    <w:rsid w:val="002749FB"/>
    <w:rsid w:val="00283369"/>
    <w:rsid w:val="002865E1"/>
    <w:rsid w:val="0028735E"/>
    <w:rsid w:val="002901C0"/>
    <w:rsid w:val="002A0907"/>
    <w:rsid w:val="002C6E08"/>
    <w:rsid w:val="002D7402"/>
    <w:rsid w:val="002E3FDC"/>
    <w:rsid w:val="002E7F95"/>
    <w:rsid w:val="002F1221"/>
    <w:rsid w:val="002F56C9"/>
    <w:rsid w:val="00303C54"/>
    <w:rsid w:val="00306BAD"/>
    <w:rsid w:val="00310898"/>
    <w:rsid w:val="00312780"/>
    <w:rsid w:val="00314C4E"/>
    <w:rsid w:val="00316942"/>
    <w:rsid w:val="003259C9"/>
    <w:rsid w:val="003351E6"/>
    <w:rsid w:val="00341408"/>
    <w:rsid w:val="00355605"/>
    <w:rsid w:val="00370E81"/>
    <w:rsid w:val="003752B0"/>
    <w:rsid w:val="00375996"/>
    <w:rsid w:val="00381D9C"/>
    <w:rsid w:val="00390D49"/>
    <w:rsid w:val="00392783"/>
    <w:rsid w:val="003A0510"/>
    <w:rsid w:val="003A2F65"/>
    <w:rsid w:val="003A35B1"/>
    <w:rsid w:val="003A3CFE"/>
    <w:rsid w:val="003A4100"/>
    <w:rsid w:val="003B34A5"/>
    <w:rsid w:val="003B34E6"/>
    <w:rsid w:val="003B4895"/>
    <w:rsid w:val="003C112F"/>
    <w:rsid w:val="003C1A63"/>
    <w:rsid w:val="003C208D"/>
    <w:rsid w:val="003D2EEA"/>
    <w:rsid w:val="003E31A5"/>
    <w:rsid w:val="003E4397"/>
    <w:rsid w:val="003E4440"/>
    <w:rsid w:val="003E6B33"/>
    <w:rsid w:val="003F063A"/>
    <w:rsid w:val="003F3625"/>
    <w:rsid w:val="004000B6"/>
    <w:rsid w:val="004101C6"/>
    <w:rsid w:val="0041376D"/>
    <w:rsid w:val="00425FBB"/>
    <w:rsid w:val="004300B7"/>
    <w:rsid w:val="004310B5"/>
    <w:rsid w:val="004311AD"/>
    <w:rsid w:val="00436602"/>
    <w:rsid w:val="00440EB1"/>
    <w:rsid w:val="00443B49"/>
    <w:rsid w:val="004522AA"/>
    <w:rsid w:val="00461677"/>
    <w:rsid w:val="00461C32"/>
    <w:rsid w:val="004645CA"/>
    <w:rsid w:val="00471B4F"/>
    <w:rsid w:val="004774BA"/>
    <w:rsid w:val="00480B35"/>
    <w:rsid w:val="00481E1C"/>
    <w:rsid w:val="00485ECC"/>
    <w:rsid w:val="00492841"/>
    <w:rsid w:val="0049288C"/>
    <w:rsid w:val="00494820"/>
    <w:rsid w:val="00494AC7"/>
    <w:rsid w:val="004A04DE"/>
    <w:rsid w:val="004B0FA6"/>
    <w:rsid w:val="004B7CBA"/>
    <w:rsid w:val="004C0F57"/>
    <w:rsid w:val="004C1D4E"/>
    <w:rsid w:val="004C30C3"/>
    <w:rsid w:val="004D6D72"/>
    <w:rsid w:val="004E2BCC"/>
    <w:rsid w:val="004E4072"/>
    <w:rsid w:val="004F3C4C"/>
    <w:rsid w:val="004F3E8A"/>
    <w:rsid w:val="004F5D55"/>
    <w:rsid w:val="004F60C5"/>
    <w:rsid w:val="005126AA"/>
    <w:rsid w:val="0053612A"/>
    <w:rsid w:val="00543E09"/>
    <w:rsid w:val="00547206"/>
    <w:rsid w:val="0054721D"/>
    <w:rsid w:val="0055349C"/>
    <w:rsid w:val="00554464"/>
    <w:rsid w:val="005550A2"/>
    <w:rsid w:val="00560D4C"/>
    <w:rsid w:val="005635AB"/>
    <w:rsid w:val="00571334"/>
    <w:rsid w:val="00572AA4"/>
    <w:rsid w:val="00575820"/>
    <w:rsid w:val="00594BCF"/>
    <w:rsid w:val="005B03DF"/>
    <w:rsid w:val="005C68E2"/>
    <w:rsid w:val="005C786C"/>
    <w:rsid w:val="005D2487"/>
    <w:rsid w:val="005D501E"/>
    <w:rsid w:val="005E0AAF"/>
    <w:rsid w:val="005E28B5"/>
    <w:rsid w:val="005E4759"/>
    <w:rsid w:val="005E7306"/>
    <w:rsid w:val="006000BC"/>
    <w:rsid w:val="0060237D"/>
    <w:rsid w:val="00606672"/>
    <w:rsid w:val="006212A0"/>
    <w:rsid w:val="00630BF8"/>
    <w:rsid w:val="006327F5"/>
    <w:rsid w:val="00637092"/>
    <w:rsid w:val="006378A3"/>
    <w:rsid w:val="00647528"/>
    <w:rsid w:val="00652616"/>
    <w:rsid w:val="00652BB2"/>
    <w:rsid w:val="00654414"/>
    <w:rsid w:val="00667519"/>
    <w:rsid w:val="00667FE7"/>
    <w:rsid w:val="006A0B97"/>
    <w:rsid w:val="006A12E0"/>
    <w:rsid w:val="006A38D4"/>
    <w:rsid w:val="006A5F7C"/>
    <w:rsid w:val="006A7C9B"/>
    <w:rsid w:val="006B48A6"/>
    <w:rsid w:val="006C54A5"/>
    <w:rsid w:val="006D072E"/>
    <w:rsid w:val="006D113D"/>
    <w:rsid w:val="006D3588"/>
    <w:rsid w:val="006D4713"/>
    <w:rsid w:val="006E0D2A"/>
    <w:rsid w:val="006E2C8C"/>
    <w:rsid w:val="006F2307"/>
    <w:rsid w:val="006F39BA"/>
    <w:rsid w:val="006F6588"/>
    <w:rsid w:val="007077B0"/>
    <w:rsid w:val="007131E9"/>
    <w:rsid w:val="00723E7B"/>
    <w:rsid w:val="007343F7"/>
    <w:rsid w:val="00740850"/>
    <w:rsid w:val="00741E66"/>
    <w:rsid w:val="0074794D"/>
    <w:rsid w:val="007509C9"/>
    <w:rsid w:val="00767C90"/>
    <w:rsid w:val="00771BA3"/>
    <w:rsid w:val="0077405D"/>
    <w:rsid w:val="00776958"/>
    <w:rsid w:val="00783FDA"/>
    <w:rsid w:val="00785B5D"/>
    <w:rsid w:val="00790E5D"/>
    <w:rsid w:val="00792EAB"/>
    <w:rsid w:val="007935CB"/>
    <w:rsid w:val="007952BD"/>
    <w:rsid w:val="007955F4"/>
    <w:rsid w:val="007A5142"/>
    <w:rsid w:val="007E1118"/>
    <w:rsid w:val="007E627E"/>
    <w:rsid w:val="007F080B"/>
    <w:rsid w:val="007F5231"/>
    <w:rsid w:val="007F527C"/>
    <w:rsid w:val="00804C8D"/>
    <w:rsid w:val="00805A80"/>
    <w:rsid w:val="00811BE0"/>
    <w:rsid w:val="00816917"/>
    <w:rsid w:val="008177A2"/>
    <w:rsid w:val="008248B3"/>
    <w:rsid w:val="0085481C"/>
    <w:rsid w:val="0085771B"/>
    <w:rsid w:val="00860589"/>
    <w:rsid w:val="008623A4"/>
    <w:rsid w:val="00876A42"/>
    <w:rsid w:val="00880981"/>
    <w:rsid w:val="00882727"/>
    <w:rsid w:val="008839AD"/>
    <w:rsid w:val="00883A08"/>
    <w:rsid w:val="00883E80"/>
    <w:rsid w:val="0089151E"/>
    <w:rsid w:val="008A0E89"/>
    <w:rsid w:val="008B5835"/>
    <w:rsid w:val="008B5CB4"/>
    <w:rsid w:val="008C512C"/>
    <w:rsid w:val="008D525B"/>
    <w:rsid w:val="008E1BAB"/>
    <w:rsid w:val="008E66C6"/>
    <w:rsid w:val="008F1CCC"/>
    <w:rsid w:val="008F7A36"/>
    <w:rsid w:val="009020C9"/>
    <w:rsid w:val="00940029"/>
    <w:rsid w:val="00963286"/>
    <w:rsid w:val="009726AA"/>
    <w:rsid w:val="00976842"/>
    <w:rsid w:val="00987B90"/>
    <w:rsid w:val="00993972"/>
    <w:rsid w:val="009A2F64"/>
    <w:rsid w:val="009A60FB"/>
    <w:rsid w:val="009B0E8B"/>
    <w:rsid w:val="009B1A01"/>
    <w:rsid w:val="009B79AD"/>
    <w:rsid w:val="009C21B7"/>
    <w:rsid w:val="009C4B60"/>
    <w:rsid w:val="009D3BC8"/>
    <w:rsid w:val="009F43EA"/>
    <w:rsid w:val="009F6B8A"/>
    <w:rsid w:val="00A05D23"/>
    <w:rsid w:val="00A35845"/>
    <w:rsid w:val="00A36EF5"/>
    <w:rsid w:val="00A37403"/>
    <w:rsid w:val="00A422B3"/>
    <w:rsid w:val="00A43E73"/>
    <w:rsid w:val="00A51BC7"/>
    <w:rsid w:val="00A53C44"/>
    <w:rsid w:val="00A55991"/>
    <w:rsid w:val="00A63C06"/>
    <w:rsid w:val="00A65549"/>
    <w:rsid w:val="00A679DC"/>
    <w:rsid w:val="00A72627"/>
    <w:rsid w:val="00A828DA"/>
    <w:rsid w:val="00A93272"/>
    <w:rsid w:val="00AA0276"/>
    <w:rsid w:val="00AA0750"/>
    <w:rsid w:val="00AA2E5B"/>
    <w:rsid w:val="00AA5402"/>
    <w:rsid w:val="00AB3B66"/>
    <w:rsid w:val="00AC3C1B"/>
    <w:rsid w:val="00AC3CA9"/>
    <w:rsid w:val="00AC3D32"/>
    <w:rsid w:val="00AC63E0"/>
    <w:rsid w:val="00AC7AB5"/>
    <w:rsid w:val="00AC7E59"/>
    <w:rsid w:val="00AE594C"/>
    <w:rsid w:val="00AF24B2"/>
    <w:rsid w:val="00B30136"/>
    <w:rsid w:val="00B405D7"/>
    <w:rsid w:val="00B4553B"/>
    <w:rsid w:val="00B46CFE"/>
    <w:rsid w:val="00B51B70"/>
    <w:rsid w:val="00B52CC1"/>
    <w:rsid w:val="00B62371"/>
    <w:rsid w:val="00B72134"/>
    <w:rsid w:val="00B76B32"/>
    <w:rsid w:val="00B77917"/>
    <w:rsid w:val="00B800D6"/>
    <w:rsid w:val="00B8371C"/>
    <w:rsid w:val="00B92322"/>
    <w:rsid w:val="00B9294D"/>
    <w:rsid w:val="00B92F7C"/>
    <w:rsid w:val="00BA01DF"/>
    <w:rsid w:val="00BA035B"/>
    <w:rsid w:val="00BA48B7"/>
    <w:rsid w:val="00BA4D84"/>
    <w:rsid w:val="00BB39E9"/>
    <w:rsid w:val="00BD1816"/>
    <w:rsid w:val="00BD63AB"/>
    <w:rsid w:val="00BE493B"/>
    <w:rsid w:val="00BE613B"/>
    <w:rsid w:val="00BF23F6"/>
    <w:rsid w:val="00BF25EA"/>
    <w:rsid w:val="00C04C19"/>
    <w:rsid w:val="00C06E50"/>
    <w:rsid w:val="00C12F7E"/>
    <w:rsid w:val="00C156D4"/>
    <w:rsid w:val="00C2207E"/>
    <w:rsid w:val="00C24CAC"/>
    <w:rsid w:val="00C25005"/>
    <w:rsid w:val="00C363F5"/>
    <w:rsid w:val="00C46A70"/>
    <w:rsid w:val="00C50E26"/>
    <w:rsid w:val="00C50E58"/>
    <w:rsid w:val="00C51243"/>
    <w:rsid w:val="00C5564C"/>
    <w:rsid w:val="00C56334"/>
    <w:rsid w:val="00C606FF"/>
    <w:rsid w:val="00C65312"/>
    <w:rsid w:val="00C653F8"/>
    <w:rsid w:val="00C95BEF"/>
    <w:rsid w:val="00CA0E15"/>
    <w:rsid w:val="00CB07F6"/>
    <w:rsid w:val="00CB1827"/>
    <w:rsid w:val="00CC0282"/>
    <w:rsid w:val="00CC0E83"/>
    <w:rsid w:val="00CC5B6B"/>
    <w:rsid w:val="00CC73BE"/>
    <w:rsid w:val="00CD0E1A"/>
    <w:rsid w:val="00CE2D85"/>
    <w:rsid w:val="00CE60F7"/>
    <w:rsid w:val="00CF18FB"/>
    <w:rsid w:val="00D00984"/>
    <w:rsid w:val="00D06908"/>
    <w:rsid w:val="00D10450"/>
    <w:rsid w:val="00D321F7"/>
    <w:rsid w:val="00D32C7D"/>
    <w:rsid w:val="00D330FC"/>
    <w:rsid w:val="00D45956"/>
    <w:rsid w:val="00D46A51"/>
    <w:rsid w:val="00D46FB2"/>
    <w:rsid w:val="00D63774"/>
    <w:rsid w:val="00D657E4"/>
    <w:rsid w:val="00D71AE2"/>
    <w:rsid w:val="00D76A24"/>
    <w:rsid w:val="00D85FA9"/>
    <w:rsid w:val="00D95567"/>
    <w:rsid w:val="00DA4CDF"/>
    <w:rsid w:val="00DA79CE"/>
    <w:rsid w:val="00DB0E8E"/>
    <w:rsid w:val="00DC023E"/>
    <w:rsid w:val="00DC0ACF"/>
    <w:rsid w:val="00DC729D"/>
    <w:rsid w:val="00DD1D4E"/>
    <w:rsid w:val="00DD26D6"/>
    <w:rsid w:val="00DD7211"/>
    <w:rsid w:val="00DF24B3"/>
    <w:rsid w:val="00E0498B"/>
    <w:rsid w:val="00E06134"/>
    <w:rsid w:val="00E30796"/>
    <w:rsid w:val="00E33B97"/>
    <w:rsid w:val="00E42100"/>
    <w:rsid w:val="00E50888"/>
    <w:rsid w:val="00E52464"/>
    <w:rsid w:val="00E52705"/>
    <w:rsid w:val="00E53F7F"/>
    <w:rsid w:val="00E5435D"/>
    <w:rsid w:val="00E54B3B"/>
    <w:rsid w:val="00E62B6B"/>
    <w:rsid w:val="00E645CC"/>
    <w:rsid w:val="00E662A7"/>
    <w:rsid w:val="00E74301"/>
    <w:rsid w:val="00E77860"/>
    <w:rsid w:val="00E87C71"/>
    <w:rsid w:val="00E9099D"/>
    <w:rsid w:val="00EA08ED"/>
    <w:rsid w:val="00EA616A"/>
    <w:rsid w:val="00EB1E4F"/>
    <w:rsid w:val="00EC1F3A"/>
    <w:rsid w:val="00EC3585"/>
    <w:rsid w:val="00ED2C1B"/>
    <w:rsid w:val="00ED528C"/>
    <w:rsid w:val="00EE2D8F"/>
    <w:rsid w:val="00EE5715"/>
    <w:rsid w:val="00EF0284"/>
    <w:rsid w:val="00F05E44"/>
    <w:rsid w:val="00F20768"/>
    <w:rsid w:val="00F245C0"/>
    <w:rsid w:val="00F24FF0"/>
    <w:rsid w:val="00F3247D"/>
    <w:rsid w:val="00F32753"/>
    <w:rsid w:val="00F32CBD"/>
    <w:rsid w:val="00F35268"/>
    <w:rsid w:val="00F44700"/>
    <w:rsid w:val="00F52C8C"/>
    <w:rsid w:val="00F563A4"/>
    <w:rsid w:val="00F563CD"/>
    <w:rsid w:val="00F62C66"/>
    <w:rsid w:val="00F67EE4"/>
    <w:rsid w:val="00F67FF8"/>
    <w:rsid w:val="00F7008C"/>
    <w:rsid w:val="00F72F92"/>
    <w:rsid w:val="00F74A99"/>
    <w:rsid w:val="00F80B05"/>
    <w:rsid w:val="00F91506"/>
    <w:rsid w:val="00F916BC"/>
    <w:rsid w:val="00F92B86"/>
    <w:rsid w:val="00F9524D"/>
    <w:rsid w:val="00FA1BBA"/>
    <w:rsid w:val="00FA27D6"/>
    <w:rsid w:val="00FA62F1"/>
    <w:rsid w:val="00FA64CA"/>
    <w:rsid w:val="00FC35B1"/>
    <w:rsid w:val="00FD2E81"/>
    <w:rsid w:val="00FD77E4"/>
    <w:rsid w:val="00FE509F"/>
    <w:rsid w:val="00FE52F4"/>
    <w:rsid w:val="00FE7734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4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Tecnologías</cp:lastModifiedBy>
  <cp:revision>10</cp:revision>
  <cp:lastPrinted>2021-12-02T17:10:00Z</cp:lastPrinted>
  <dcterms:created xsi:type="dcterms:W3CDTF">2021-12-09T20:26:00Z</dcterms:created>
  <dcterms:modified xsi:type="dcterms:W3CDTF">2022-01-25T14:50:00Z</dcterms:modified>
</cp:coreProperties>
</file>